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DC21E" w14:textId="41BC6200" w:rsidR="00A52720" w:rsidRPr="00E41F71" w:rsidRDefault="00A52720" w:rsidP="00A52720">
      <w:pPr>
        <w:spacing w:after="0"/>
        <w:rPr>
          <w:rFonts w:ascii="Arial" w:hAnsi="Arial" w:cs="Arial"/>
          <w:sz w:val="24"/>
          <w:szCs w:val="24"/>
          <w:lang w:val="en-US"/>
        </w:rPr>
      </w:pPr>
      <w:r w:rsidRPr="00E41F71">
        <w:rPr>
          <w:rFonts w:ascii="Arial" w:hAnsi="Arial" w:cs="Arial"/>
          <w:sz w:val="24"/>
          <w:szCs w:val="24"/>
          <w:highlight w:val="yellow"/>
          <w:lang w:val="en-US"/>
        </w:rPr>
        <w:t>iGEM Patras – promotion video script</w:t>
      </w:r>
    </w:p>
    <w:p w14:paraId="73088140" w14:textId="77777777" w:rsidR="00A52720" w:rsidRPr="00E41F71" w:rsidRDefault="00A52720" w:rsidP="00A52720">
      <w:pPr>
        <w:spacing w:after="0"/>
        <w:rPr>
          <w:rFonts w:ascii="Arial" w:hAnsi="Arial" w:cs="Arial"/>
          <w:sz w:val="24"/>
          <w:szCs w:val="24"/>
          <w:lang w:val="en-US"/>
        </w:rPr>
      </w:pPr>
    </w:p>
    <w:p w14:paraId="0D9733BC" w14:textId="77777777" w:rsidR="001959B6" w:rsidRDefault="00A52720" w:rsidP="00A52720">
      <w:pPr>
        <w:spacing w:after="0"/>
        <w:rPr>
          <w:rFonts w:ascii="Arial" w:hAnsi="Arial" w:cs="Arial"/>
          <w:sz w:val="24"/>
          <w:szCs w:val="24"/>
          <w:lang w:val="en-US"/>
        </w:rPr>
      </w:pPr>
      <w:r w:rsidRPr="00A52720">
        <w:rPr>
          <w:rFonts w:ascii="Arial" w:hAnsi="Arial" w:cs="Arial"/>
          <w:sz w:val="24"/>
          <w:szCs w:val="24"/>
          <w:lang w:val="en-US"/>
        </w:rPr>
        <w:t xml:space="preserve">Have you ever heard about </w:t>
      </w:r>
      <w:r w:rsidRPr="00A52720">
        <w:rPr>
          <w:rFonts w:ascii="Arial" w:hAnsi="Arial" w:cs="Arial"/>
          <w:b/>
          <w:bCs/>
          <w:sz w:val="24"/>
          <w:szCs w:val="24"/>
          <w:lang w:val="en-US"/>
        </w:rPr>
        <w:t>Pharmacogenomics</w:t>
      </w:r>
      <w:r w:rsidRPr="00A52720">
        <w:rPr>
          <w:rFonts w:ascii="Arial" w:hAnsi="Arial" w:cs="Arial"/>
          <w:sz w:val="24"/>
          <w:szCs w:val="24"/>
          <w:lang w:val="en-US"/>
        </w:rPr>
        <w:t>? </w:t>
      </w:r>
    </w:p>
    <w:p w14:paraId="61DABE5A" w14:textId="1474B0DF" w:rsidR="001959B6" w:rsidRDefault="001959B6" w:rsidP="00A52720">
      <w:pPr>
        <w:spacing w:after="0"/>
        <w:rPr>
          <w:rFonts w:ascii="Arial" w:hAnsi="Arial" w:cs="Arial"/>
          <w:sz w:val="24"/>
          <w:szCs w:val="24"/>
          <w:lang w:val="en-US" w:eastAsia="ja-JP"/>
        </w:rPr>
      </w:pPr>
      <w:r>
        <w:rPr>
          <w:rFonts w:ascii="Arial" w:hAnsi="Arial" w:cs="Arial" w:hint="eastAsia"/>
          <w:sz w:val="24"/>
          <w:szCs w:val="24"/>
          <w:lang w:val="en-US" w:eastAsia="ja-JP"/>
        </w:rPr>
        <w:t>「</w:t>
      </w:r>
      <w:r w:rsidR="003E251E">
        <w:rPr>
          <w:rFonts w:ascii="Arial" w:hAnsi="Arial" w:cs="Arial" w:hint="eastAsia"/>
          <w:sz w:val="24"/>
          <w:szCs w:val="24"/>
          <w:lang w:val="en-US" w:eastAsia="ja-JP"/>
        </w:rPr>
        <w:t>遺伝</w:t>
      </w:r>
      <w:r>
        <w:rPr>
          <w:rFonts w:ascii="Arial" w:hAnsi="Arial" w:cs="Arial" w:hint="eastAsia"/>
          <w:sz w:val="24"/>
          <w:szCs w:val="24"/>
          <w:lang w:val="en-US" w:eastAsia="ja-JP"/>
        </w:rPr>
        <w:t>薬理学」を知っていますか？</w:t>
      </w:r>
    </w:p>
    <w:p w14:paraId="54559868" w14:textId="7CA85BE8" w:rsidR="00A52720" w:rsidRDefault="00A52720" w:rsidP="00A52720">
      <w:pPr>
        <w:spacing w:after="0"/>
        <w:rPr>
          <w:rFonts w:ascii="Arial" w:hAnsi="Arial" w:cs="Arial"/>
          <w:sz w:val="24"/>
          <w:szCs w:val="24"/>
          <w:lang w:val="en-US"/>
        </w:rPr>
      </w:pPr>
      <w:r w:rsidRPr="00A52720">
        <w:rPr>
          <w:rFonts w:ascii="Arial" w:hAnsi="Arial" w:cs="Arial"/>
          <w:sz w:val="24"/>
          <w:szCs w:val="24"/>
          <w:lang w:val="en-US"/>
        </w:rPr>
        <w:t>It is the scientific field that studies how genes affect a person's response to drugs. </w:t>
      </w:r>
    </w:p>
    <w:p w14:paraId="35FFBB58" w14:textId="5D5AD83C" w:rsidR="00A52720" w:rsidRPr="00A52720" w:rsidRDefault="00337D78" w:rsidP="00A52720">
      <w:pPr>
        <w:spacing w:after="0"/>
        <w:rPr>
          <w:rFonts w:ascii="Arial" w:hAnsi="Arial" w:cs="Arial"/>
          <w:sz w:val="24"/>
          <w:szCs w:val="24"/>
          <w:lang w:val="en-US" w:eastAsia="ja-JP"/>
        </w:rPr>
      </w:pPr>
      <w:r>
        <w:rPr>
          <w:rFonts w:ascii="Arial" w:hAnsi="Arial" w:cs="Arial" w:hint="eastAsia"/>
          <w:sz w:val="24"/>
          <w:szCs w:val="24"/>
          <w:lang w:val="en-US" w:eastAsia="ja-JP"/>
        </w:rPr>
        <w:t>これは、</w:t>
      </w:r>
      <w:r w:rsidR="005913EE">
        <w:rPr>
          <w:rFonts w:ascii="Arial" w:hAnsi="Arial" w:cs="Arial" w:hint="eastAsia"/>
          <w:sz w:val="24"/>
          <w:szCs w:val="24"/>
          <w:lang w:val="en-US" w:eastAsia="ja-JP"/>
        </w:rPr>
        <w:t>遺伝子が</w:t>
      </w:r>
      <w:r w:rsidR="007E22B3">
        <w:rPr>
          <w:rFonts w:ascii="Arial" w:hAnsi="Arial" w:cs="Arial" w:hint="eastAsia"/>
          <w:sz w:val="24"/>
          <w:szCs w:val="24"/>
          <w:lang w:val="en-US" w:eastAsia="ja-JP"/>
        </w:rPr>
        <w:t>薬剤</w:t>
      </w:r>
      <w:r w:rsidR="001959B6">
        <w:rPr>
          <w:rFonts w:ascii="Arial" w:hAnsi="Arial" w:cs="Arial" w:hint="eastAsia"/>
          <w:sz w:val="24"/>
          <w:szCs w:val="24"/>
          <w:lang w:val="en-US" w:eastAsia="ja-JP"/>
        </w:rPr>
        <w:t>に対する</w:t>
      </w:r>
      <w:r w:rsidR="005913EE">
        <w:rPr>
          <w:rFonts w:ascii="Arial" w:hAnsi="Arial" w:cs="Arial" w:hint="eastAsia"/>
          <w:sz w:val="24"/>
          <w:szCs w:val="24"/>
          <w:lang w:val="en-US" w:eastAsia="ja-JP"/>
        </w:rPr>
        <w:t>反応にどのように影響するかを研究する学問です。</w:t>
      </w:r>
    </w:p>
    <w:p w14:paraId="72C4AD3D" w14:textId="77777777" w:rsidR="00A52720" w:rsidRPr="00A52720" w:rsidRDefault="00A52720" w:rsidP="00A52720">
      <w:pPr>
        <w:spacing w:after="0"/>
        <w:rPr>
          <w:rFonts w:ascii="Arial" w:hAnsi="Arial" w:cs="Arial"/>
          <w:sz w:val="24"/>
          <w:szCs w:val="24"/>
          <w:lang w:val="en-US"/>
        </w:rPr>
      </w:pPr>
      <w:r w:rsidRPr="00A52720">
        <w:rPr>
          <w:rFonts w:ascii="Arial" w:hAnsi="Arial" w:cs="Arial"/>
          <w:sz w:val="24"/>
          <w:szCs w:val="24"/>
          <w:lang w:val="en-US"/>
        </w:rPr>
        <w:t>Early pharmacogenomic platforms were confined to the analysis of common variants before prescribing drugs. </w:t>
      </w:r>
    </w:p>
    <w:p w14:paraId="7E36E6BB" w14:textId="34B75094" w:rsidR="00A52720" w:rsidRPr="00A52720" w:rsidRDefault="00577F89" w:rsidP="00A52720">
      <w:pPr>
        <w:spacing w:after="0"/>
        <w:rPr>
          <w:rFonts w:ascii="Arial" w:hAnsi="Arial" w:cs="Arial"/>
          <w:sz w:val="24"/>
          <w:szCs w:val="24"/>
          <w:lang w:val="en-US" w:eastAsia="ja-JP"/>
        </w:rPr>
      </w:pPr>
      <w:r>
        <w:rPr>
          <w:rFonts w:ascii="Arial" w:hAnsi="Arial" w:cs="Arial" w:hint="eastAsia"/>
          <w:sz w:val="24"/>
          <w:szCs w:val="24"/>
          <w:lang w:val="en-US" w:eastAsia="ja-JP"/>
        </w:rPr>
        <w:t>初期</w:t>
      </w:r>
      <w:r w:rsidR="004620EB">
        <w:rPr>
          <w:rFonts w:ascii="Arial" w:hAnsi="Arial" w:cs="Arial" w:hint="eastAsia"/>
          <w:sz w:val="24"/>
          <w:szCs w:val="24"/>
          <w:lang w:val="en-US" w:eastAsia="ja-JP"/>
        </w:rPr>
        <w:t>段階における</w:t>
      </w:r>
      <w:r w:rsidR="003E251E">
        <w:rPr>
          <w:rFonts w:ascii="Arial" w:hAnsi="Arial" w:cs="Arial" w:hint="eastAsia"/>
          <w:sz w:val="24"/>
          <w:szCs w:val="24"/>
          <w:lang w:val="en-US" w:eastAsia="ja-JP"/>
        </w:rPr>
        <w:t>遺伝</w:t>
      </w:r>
      <w:r>
        <w:rPr>
          <w:rFonts w:ascii="Arial" w:hAnsi="Arial" w:cs="Arial" w:hint="eastAsia"/>
          <w:sz w:val="24"/>
          <w:szCs w:val="24"/>
          <w:lang w:val="en-US" w:eastAsia="ja-JP"/>
        </w:rPr>
        <w:t>薬理学の基盤は</w:t>
      </w:r>
      <w:r w:rsidR="007E22B3">
        <w:rPr>
          <w:rFonts w:ascii="Arial" w:hAnsi="Arial" w:cs="Arial" w:hint="eastAsia"/>
          <w:sz w:val="24"/>
          <w:szCs w:val="24"/>
          <w:lang w:val="en-US" w:eastAsia="ja-JP"/>
        </w:rPr>
        <w:t>薬剤</w:t>
      </w:r>
      <w:r>
        <w:rPr>
          <w:rFonts w:ascii="Arial" w:hAnsi="Arial" w:cs="Arial" w:hint="eastAsia"/>
          <w:sz w:val="24"/>
          <w:szCs w:val="24"/>
          <w:lang w:val="en-US" w:eastAsia="ja-JP"/>
        </w:rPr>
        <w:t>を処方する前に共通の変異を分析することに</w:t>
      </w:r>
      <w:r w:rsidR="000A1722">
        <w:rPr>
          <w:rFonts w:ascii="Arial" w:hAnsi="Arial" w:cs="Arial" w:hint="eastAsia"/>
          <w:sz w:val="24"/>
          <w:szCs w:val="24"/>
          <w:lang w:val="en-US" w:eastAsia="ja-JP"/>
        </w:rPr>
        <w:t>限定されていました。</w:t>
      </w:r>
    </w:p>
    <w:p w14:paraId="1B3E9197" w14:textId="77777777" w:rsidR="00A52720" w:rsidRPr="00A52720" w:rsidRDefault="00A52720" w:rsidP="00A52720">
      <w:pPr>
        <w:spacing w:after="0"/>
        <w:rPr>
          <w:rFonts w:ascii="Arial" w:hAnsi="Arial" w:cs="Arial"/>
          <w:sz w:val="24"/>
          <w:szCs w:val="24"/>
          <w:lang w:val="en-US"/>
        </w:rPr>
      </w:pPr>
      <w:r w:rsidRPr="00A52720">
        <w:rPr>
          <w:rFonts w:ascii="Arial" w:hAnsi="Arial" w:cs="Arial"/>
          <w:sz w:val="24"/>
          <w:szCs w:val="24"/>
          <w:lang w:val="en-US"/>
        </w:rPr>
        <w:t>However, it has been observed that certain patients, besides following these guidelines, still suffer from adverse drug reactions (</w:t>
      </w:r>
      <w:r w:rsidRPr="00A52720">
        <w:rPr>
          <w:rFonts w:ascii="Arial" w:hAnsi="Arial" w:cs="Arial"/>
          <w:b/>
          <w:bCs/>
          <w:sz w:val="24"/>
          <w:szCs w:val="24"/>
          <w:lang w:val="en-US"/>
        </w:rPr>
        <w:t>ADRs</w:t>
      </w:r>
      <w:r w:rsidRPr="00A52720">
        <w:rPr>
          <w:rFonts w:ascii="Arial" w:hAnsi="Arial" w:cs="Arial"/>
          <w:sz w:val="24"/>
          <w:szCs w:val="24"/>
          <w:lang w:val="en-US"/>
        </w:rPr>
        <w:t>). According to the FDA, over 106.000 deaths annually are associated with drugs. </w:t>
      </w:r>
    </w:p>
    <w:p w14:paraId="4A6418DC" w14:textId="6B5253A6" w:rsidR="00A52720" w:rsidRPr="00A52720" w:rsidRDefault="00577F89" w:rsidP="00A52720">
      <w:pPr>
        <w:spacing w:after="0"/>
        <w:rPr>
          <w:rFonts w:ascii="Arial" w:hAnsi="Arial" w:cs="Arial"/>
          <w:sz w:val="24"/>
          <w:szCs w:val="24"/>
          <w:lang w:val="en-US" w:eastAsia="ja-JP"/>
        </w:rPr>
      </w:pPr>
      <w:r>
        <w:rPr>
          <w:rFonts w:ascii="Arial" w:hAnsi="Arial" w:cs="Arial" w:hint="eastAsia"/>
          <w:sz w:val="24"/>
          <w:szCs w:val="24"/>
          <w:lang w:val="en-US" w:eastAsia="ja-JP"/>
        </w:rPr>
        <w:t>しかし、</w:t>
      </w:r>
      <w:r w:rsidR="000A1722">
        <w:rPr>
          <w:rFonts w:ascii="Arial" w:hAnsi="Arial" w:cs="Arial" w:hint="eastAsia"/>
          <w:sz w:val="24"/>
          <w:szCs w:val="24"/>
          <w:lang w:val="en-US" w:eastAsia="ja-JP"/>
        </w:rPr>
        <w:t>何人かの患者はこれらのガイドラインに従ってもなお、副作用にまだ苦しんでいることが分かってい</w:t>
      </w:r>
      <w:r w:rsidR="003E251E">
        <w:rPr>
          <w:rFonts w:ascii="Arial" w:hAnsi="Arial" w:cs="Arial" w:hint="eastAsia"/>
          <w:sz w:val="24"/>
          <w:szCs w:val="24"/>
          <w:lang w:val="en-US" w:eastAsia="ja-JP"/>
        </w:rPr>
        <w:t>ます</w:t>
      </w:r>
      <w:r w:rsidR="000A1722">
        <w:rPr>
          <w:rFonts w:ascii="Arial" w:hAnsi="Arial" w:cs="Arial" w:hint="eastAsia"/>
          <w:sz w:val="24"/>
          <w:szCs w:val="24"/>
          <w:lang w:val="en-US" w:eastAsia="ja-JP"/>
        </w:rPr>
        <w:t>。</w:t>
      </w:r>
      <w:r w:rsidR="000A1722">
        <w:rPr>
          <w:rFonts w:ascii="Arial" w:hAnsi="Arial" w:cs="Arial" w:hint="eastAsia"/>
          <w:sz w:val="24"/>
          <w:szCs w:val="24"/>
          <w:lang w:val="en-US" w:eastAsia="ja-JP"/>
        </w:rPr>
        <w:t>FDA</w:t>
      </w:r>
      <w:r w:rsidR="000A1722">
        <w:rPr>
          <w:rFonts w:ascii="Arial" w:hAnsi="Arial" w:cs="Arial" w:hint="eastAsia"/>
          <w:sz w:val="24"/>
          <w:szCs w:val="24"/>
          <w:lang w:val="en-US" w:eastAsia="ja-JP"/>
        </w:rPr>
        <w:t>によると、毎年</w:t>
      </w:r>
      <w:r w:rsidR="000A1722">
        <w:rPr>
          <w:rFonts w:ascii="Arial" w:hAnsi="Arial" w:cs="Arial" w:hint="eastAsia"/>
          <w:sz w:val="24"/>
          <w:szCs w:val="24"/>
          <w:lang w:val="en-US" w:eastAsia="ja-JP"/>
        </w:rPr>
        <w:t>10</w:t>
      </w:r>
      <w:r w:rsidR="000A1722">
        <w:rPr>
          <w:rFonts w:ascii="Arial" w:hAnsi="Arial" w:cs="Arial" w:hint="eastAsia"/>
          <w:sz w:val="24"/>
          <w:szCs w:val="24"/>
          <w:lang w:val="en-US" w:eastAsia="ja-JP"/>
        </w:rPr>
        <w:t>万６千人以上</w:t>
      </w:r>
      <w:r w:rsidR="004620EB">
        <w:rPr>
          <w:rFonts w:ascii="Arial" w:hAnsi="Arial" w:cs="Arial" w:hint="eastAsia"/>
          <w:sz w:val="24"/>
          <w:szCs w:val="24"/>
          <w:lang w:val="en-US" w:eastAsia="ja-JP"/>
        </w:rPr>
        <w:t>の</w:t>
      </w:r>
      <w:r w:rsidR="007E22B3">
        <w:rPr>
          <w:rFonts w:ascii="Arial" w:hAnsi="Arial" w:cs="Arial" w:hint="eastAsia"/>
          <w:sz w:val="24"/>
          <w:szCs w:val="24"/>
          <w:lang w:val="en-US" w:eastAsia="ja-JP"/>
        </w:rPr>
        <w:t>薬剤</w:t>
      </w:r>
      <w:r w:rsidR="004620EB">
        <w:rPr>
          <w:rFonts w:ascii="Arial" w:hAnsi="Arial" w:cs="Arial" w:hint="eastAsia"/>
          <w:sz w:val="24"/>
          <w:szCs w:val="24"/>
          <w:lang w:val="en-US" w:eastAsia="ja-JP"/>
        </w:rPr>
        <w:t>に関連した死者が出ています</w:t>
      </w:r>
      <w:r w:rsidR="00457B92">
        <w:rPr>
          <w:rFonts w:ascii="Arial" w:hAnsi="Arial" w:cs="Arial" w:hint="eastAsia"/>
          <w:sz w:val="24"/>
          <w:szCs w:val="24"/>
          <w:lang w:val="en-US" w:eastAsia="ja-JP"/>
        </w:rPr>
        <w:t>。</w:t>
      </w:r>
    </w:p>
    <w:p w14:paraId="7D1A82F0" w14:textId="77777777" w:rsidR="00A52720" w:rsidRPr="00A52720" w:rsidRDefault="00A52720" w:rsidP="00A52720">
      <w:pPr>
        <w:spacing w:after="0"/>
        <w:rPr>
          <w:rFonts w:ascii="Arial" w:hAnsi="Arial" w:cs="Arial"/>
          <w:sz w:val="24"/>
          <w:szCs w:val="24"/>
          <w:lang w:val="en-US"/>
        </w:rPr>
      </w:pPr>
      <w:r w:rsidRPr="00A52720">
        <w:rPr>
          <w:rFonts w:ascii="Arial" w:hAnsi="Arial" w:cs="Arial"/>
          <w:sz w:val="24"/>
          <w:szCs w:val="24"/>
          <w:lang w:val="en-US"/>
        </w:rPr>
        <w:t>Let's see the story behind it and why this is happening.</w:t>
      </w:r>
    </w:p>
    <w:p w14:paraId="7D1E3B47" w14:textId="1FC91711" w:rsidR="00A52720" w:rsidRPr="00A52720" w:rsidRDefault="00457B92" w:rsidP="00A52720">
      <w:pPr>
        <w:spacing w:after="0"/>
        <w:rPr>
          <w:rFonts w:ascii="Arial" w:hAnsi="Arial" w:cs="Arial"/>
          <w:sz w:val="24"/>
          <w:szCs w:val="24"/>
          <w:lang w:val="en-US" w:eastAsia="ja-JP"/>
        </w:rPr>
      </w:pPr>
      <w:r>
        <w:rPr>
          <w:rFonts w:ascii="Arial" w:hAnsi="Arial" w:cs="Arial" w:hint="eastAsia"/>
          <w:sz w:val="24"/>
          <w:szCs w:val="24"/>
          <w:lang w:val="en-US" w:eastAsia="ja-JP"/>
        </w:rPr>
        <w:t>これらの背景や理由を見ていきましょう。</w:t>
      </w:r>
    </w:p>
    <w:p w14:paraId="0BD50A02" w14:textId="0D790378" w:rsidR="00A52720" w:rsidRPr="00A52720" w:rsidRDefault="00A52720" w:rsidP="00A52720">
      <w:pPr>
        <w:spacing w:after="0"/>
        <w:rPr>
          <w:rFonts w:ascii="Arial" w:hAnsi="Arial" w:cs="Arial"/>
          <w:sz w:val="24"/>
          <w:szCs w:val="24"/>
          <w:lang w:val="en-US"/>
        </w:rPr>
      </w:pPr>
      <w:r w:rsidRPr="00A52720">
        <w:rPr>
          <w:rFonts w:ascii="Arial" w:hAnsi="Arial" w:cs="Arial"/>
          <w:sz w:val="24"/>
          <w:szCs w:val="24"/>
          <w:lang w:val="en-US"/>
        </w:rPr>
        <w:t xml:space="preserve">There are approximately </w:t>
      </w:r>
      <w:r w:rsidRPr="00A52720">
        <w:rPr>
          <w:rFonts w:ascii="Arial" w:hAnsi="Arial" w:cs="Arial"/>
          <w:b/>
          <w:bCs/>
          <w:sz w:val="24"/>
          <w:szCs w:val="24"/>
          <w:lang w:val="en-US"/>
        </w:rPr>
        <w:t>231 pharmacogenes</w:t>
      </w:r>
      <w:r w:rsidRPr="00A52720">
        <w:rPr>
          <w:rFonts w:ascii="Arial" w:hAnsi="Arial" w:cs="Arial"/>
          <w:sz w:val="24"/>
          <w:szCs w:val="24"/>
          <w:lang w:val="en-US"/>
        </w:rPr>
        <w:t xml:space="preserve">, </w:t>
      </w:r>
      <w:r w:rsidRPr="00A52720">
        <w:rPr>
          <w:rFonts w:ascii="Arial" w:hAnsi="Arial" w:cs="Arial"/>
          <w:b/>
          <w:bCs/>
          <w:sz w:val="24"/>
          <w:szCs w:val="24"/>
          <w:lang w:val="en-US"/>
        </w:rPr>
        <w:t xml:space="preserve">50 </w:t>
      </w:r>
      <w:r w:rsidRPr="00A52720">
        <w:rPr>
          <w:rFonts w:ascii="Arial" w:hAnsi="Arial" w:cs="Arial"/>
          <w:sz w:val="24"/>
          <w:szCs w:val="24"/>
          <w:lang w:val="en-US"/>
        </w:rPr>
        <w:t xml:space="preserve">of which regulate the </w:t>
      </w:r>
      <w:r w:rsidRPr="00A52720">
        <w:rPr>
          <w:rFonts w:ascii="Arial" w:hAnsi="Arial" w:cs="Arial"/>
          <w:b/>
          <w:bCs/>
          <w:sz w:val="24"/>
          <w:szCs w:val="24"/>
          <w:lang w:val="en-US"/>
        </w:rPr>
        <w:t xml:space="preserve">CYP450 </w:t>
      </w:r>
      <w:r w:rsidRPr="00A52720">
        <w:rPr>
          <w:rFonts w:ascii="Arial" w:hAnsi="Arial" w:cs="Arial"/>
          <w:sz w:val="24"/>
          <w:szCs w:val="24"/>
          <w:lang w:val="en-US"/>
        </w:rPr>
        <w:t xml:space="preserve">enzyme expression. Two of the most important liver enzymes are </w:t>
      </w:r>
      <w:r w:rsidRPr="00A52720">
        <w:rPr>
          <w:rFonts w:ascii="Arial" w:hAnsi="Arial" w:cs="Arial"/>
          <w:b/>
          <w:bCs/>
          <w:sz w:val="24"/>
          <w:szCs w:val="24"/>
          <w:lang w:val="en-US"/>
        </w:rPr>
        <w:t xml:space="preserve">CYP2D6 </w:t>
      </w:r>
      <w:r w:rsidRPr="00A52720">
        <w:rPr>
          <w:rFonts w:ascii="Arial" w:hAnsi="Arial" w:cs="Arial"/>
          <w:sz w:val="24"/>
          <w:szCs w:val="24"/>
          <w:lang w:val="en-US"/>
        </w:rPr>
        <w:t xml:space="preserve">and </w:t>
      </w:r>
      <w:r w:rsidRPr="00A52720">
        <w:rPr>
          <w:rFonts w:ascii="Arial" w:hAnsi="Arial" w:cs="Arial"/>
          <w:b/>
          <w:bCs/>
          <w:sz w:val="24"/>
          <w:szCs w:val="24"/>
          <w:lang w:val="en-US"/>
        </w:rPr>
        <w:t>CYP2C19</w:t>
      </w:r>
      <w:r w:rsidRPr="00A52720">
        <w:rPr>
          <w:rFonts w:ascii="Arial" w:hAnsi="Arial" w:cs="Arial"/>
          <w:sz w:val="24"/>
          <w:szCs w:val="24"/>
          <w:lang w:val="en-US"/>
        </w:rPr>
        <w:t>, involved in the metabolism of certain prescribed drugs in the body.</w:t>
      </w:r>
    </w:p>
    <w:p w14:paraId="06EDA1E8" w14:textId="668A39AD" w:rsidR="00A52720" w:rsidRPr="00A52720" w:rsidRDefault="00457B92" w:rsidP="00A52720">
      <w:pPr>
        <w:spacing w:after="0"/>
        <w:rPr>
          <w:rFonts w:ascii="Arial" w:hAnsi="Arial" w:cs="Arial"/>
          <w:sz w:val="24"/>
          <w:szCs w:val="24"/>
          <w:lang w:val="en-US" w:eastAsia="ja-JP"/>
        </w:rPr>
      </w:pPr>
      <w:r>
        <w:rPr>
          <w:rFonts w:ascii="Arial" w:hAnsi="Arial" w:cs="Arial" w:hint="eastAsia"/>
          <w:sz w:val="24"/>
          <w:szCs w:val="24"/>
          <w:lang w:val="en-US" w:eastAsia="ja-JP"/>
        </w:rPr>
        <w:t>およそ</w:t>
      </w:r>
      <w:r w:rsidR="004D0C13">
        <w:rPr>
          <w:rFonts w:ascii="Arial" w:hAnsi="Arial" w:cs="Arial" w:hint="eastAsia"/>
          <w:sz w:val="24"/>
          <w:szCs w:val="24"/>
          <w:lang w:val="en-US" w:eastAsia="ja-JP"/>
        </w:rPr>
        <w:t>2</w:t>
      </w:r>
      <w:r w:rsidR="004D0C13">
        <w:rPr>
          <w:rFonts w:ascii="Arial" w:hAnsi="Arial" w:cs="Arial"/>
          <w:sz w:val="24"/>
          <w:szCs w:val="24"/>
          <w:lang w:val="en-US" w:eastAsia="ja-JP"/>
        </w:rPr>
        <w:t>31</w:t>
      </w:r>
      <w:r w:rsidR="004D0C13">
        <w:rPr>
          <w:rFonts w:ascii="Arial" w:hAnsi="Arial" w:cs="Arial" w:hint="eastAsia"/>
          <w:sz w:val="24"/>
          <w:szCs w:val="24"/>
          <w:lang w:val="en-US" w:eastAsia="ja-JP"/>
        </w:rPr>
        <w:t>の薬</w:t>
      </w:r>
      <w:r w:rsidR="003E251E">
        <w:rPr>
          <w:rFonts w:ascii="Arial" w:hAnsi="Arial" w:cs="Arial" w:hint="eastAsia"/>
          <w:sz w:val="24"/>
          <w:szCs w:val="24"/>
          <w:lang w:val="en-US" w:eastAsia="ja-JP"/>
        </w:rPr>
        <w:t>理</w:t>
      </w:r>
      <w:r w:rsidR="004D0C13">
        <w:rPr>
          <w:rFonts w:ascii="Arial" w:hAnsi="Arial" w:cs="Arial" w:hint="eastAsia"/>
          <w:sz w:val="24"/>
          <w:szCs w:val="24"/>
          <w:lang w:val="en-US" w:eastAsia="ja-JP"/>
        </w:rPr>
        <w:t>遺伝子</w:t>
      </w:r>
      <w:r w:rsidR="003E251E">
        <w:rPr>
          <w:rFonts w:ascii="Arial" w:hAnsi="Arial" w:cs="Arial" w:hint="eastAsia"/>
          <w:sz w:val="24"/>
          <w:szCs w:val="24"/>
          <w:lang w:val="en-US" w:eastAsia="ja-JP"/>
        </w:rPr>
        <w:t>があり</w:t>
      </w:r>
      <w:r w:rsidR="004D0C13">
        <w:rPr>
          <w:rFonts w:ascii="Arial" w:hAnsi="Arial" w:cs="Arial" w:hint="eastAsia"/>
          <w:sz w:val="24"/>
          <w:szCs w:val="24"/>
          <w:lang w:val="en-US" w:eastAsia="ja-JP"/>
        </w:rPr>
        <w:t>、</w:t>
      </w:r>
      <w:r w:rsidR="003E251E">
        <w:rPr>
          <w:rFonts w:ascii="Arial" w:hAnsi="Arial" w:cs="Arial" w:hint="eastAsia"/>
          <w:sz w:val="24"/>
          <w:szCs w:val="24"/>
          <w:lang w:val="en-US" w:eastAsia="ja-JP"/>
        </w:rPr>
        <w:t>そのうちの</w:t>
      </w:r>
      <w:r w:rsidR="003E251E">
        <w:rPr>
          <w:rFonts w:ascii="Arial" w:hAnsi="Arial" w:cs="Arial" w:hint="eastAsia"/>
          <w:sz w:val="24"/>
          <w:szCs w:val="24"/>
          <w:lang w:val="en-US" w:eastAsia="ja-JP"/>
        </w:rPr>
        <w:t>50</w:t>
      </w:r>
      <w:r w:rsidR="003E251E">
        <w:rPr>
          <w:rFonts w:ascii="Arial" w:hAnsi="Arial" w:cs="Arial" w:hint="eastAsia"/>
          <w:sz w:val="24"/>
          <w:szCs w:val="24"/>
          <w:lang w:val="en-US" w:eastAsia="ja-JP"/>
        </w:rPr>
        <w:t>種類が</w:t>
      </w:r>
      <w:r w:rsidR="004D0C13">
        <w:rPr>
          <w:rFonts w:ascii="Arial" w:hAnsi="Arial" w:cs="Arial" w:hint="eastAsia"/>
          <w:sz w:val="24"/>
          <w:szCs w:val="24"/>
          <w:lang w:val="en-US" w:eastAsia="ja-JP"/>
        </w:rPr>
        <w:t>C</w:t>
      </w:r>
      <w:r w:rsidR="004D0C13">
        <w:rPr>
          <w:rFonts w:ascii="Arial" w:hAnsi="Arial" w:cs="Arial"/>
          <w:sz w:val="24"/>
          <w:szCs w:val="24"/>
          <w:lang w:val="en-US" w:eastAsia="ja-JP"/>
        </w:rPr>
        <w:t>YP450</w:t>
      </w:r>
      <w:r w:rsidR="004D0C13">
        <w:rPr>
          <w:rFonts w:ascii="Arial" w:hAnsi="Arial" w:cs="Arial" w:hint="eastAsia"/>
          <w:sz w:val="24"/>
          <w:szCs w:val="24"/>
          <w:lang w:val="en-US" w:eastAsia="ja-JP"/>
        </w:rPr>
        <w:t>/</w:t>
      </w:r>
      <w:r w:rsidR="004D0C13">
        <w:rPr>
          <w:rFonts w:ascii="Arial" w:hAnsi="Arial" w:cs="Arial" w:hint="eastAsia"/>
          <w:sz w:val="24"/>
          <w:szCs w:val="24"/>
          <w:lang w:val="en-US" w:eastAsia="ja-JP"/>
        </w:rPr>
        <w:t>シトクロム</w:t>
      </w:r>
      <w:r w:rsidR="004D0C13">
        <w:rPr>
          <w:rFonts w:ascii="Arial" w:hAnsi="Arial" w:cs="Arial"/>
          <w:sz w:val="24"/>
          <w:szCs w:val="24"/>
          <w:lang w:val="en-US" w:eastAsia="ja-JP"/>
        </w:rPr>
        <w:t>p450</w:t>
      </w:r>
      <w:r w:rsidR="001B2DB0">
        <w:rPr>
          <w:rFonts w:ascii="Arial" w:hAnsi="Arial" w:cs="Arial" w:hint="eastAsia"/>
          <w:sz w:val="24"/>
          <w:szCs w:val="24"/>
          <w:lang w:val="en-US" w:eastAsia="ja-JP"/>
        </w:rPr>
        <w:t>の</w:t>
      </w:r>
      <w:r w:rsidR="004D0C13">
        <w:rPr>
          <w:rFonts w:ascii="Arial" w:hAnsi="Arial" w:cs="Arial" w:hint="eastAsia"/>
          <w:sz w:val="24"/>
          <w:szCs w:val="24"/>
          <w:lang w:val="en-US" w:eastAsia="ja-JP"/>
        </w:rPr>
        <w:t>酵素発現を</w:t>
      </w:r>
      <w:r w:rsidR="003E251E">
        <w:rPr>
          <w:rFonts w:ascii="Arial" w:hAnsi="Arial" w:cs="Arial" w:hint="eastAsia"/>
          <w:sz w:val="24"/>
          <w:szCs w:val="24"/>
          <w:lang w:val="en-US" w:eastAsia="ja-JP"/>
        </w:rPr>
        <w:t>制御しています。</w:t>
      </w:r>
    </w:p>
    <w:p w14:paraId="6568F714" w14:textId="77777777" w:rsidR="00A52720" w:rsidRPr="00A52720" w:rsidRDefault="00A52720" w:rsidP="00A52720">
      <w:pPr>
        <w:spacing w:after="0"/>
        <w:rPr>
          <w:rFonts w:ascii="Arial" w:hAnsi="Arial" w:cs="Arial"/>
          <w:sz w:val="24"/>
          <w:szCs w:val="24"/>
          <w:lang w:val="en-US"/>
        </w:rPr>
      </w:pPr>
      <w:r w:rsidRPr="00A52720">
        <w:rPr>
          <w:rFonts w:ascii="Arial" w:hAnsi="Arial" w:cs="Arial"/>
          <w:sz w:val="24"/>
          <w:szCs w:val="24"/>
          <w:lang w:val="en-US"/>
        </w:rPr>
        <w:t xml:space="preserve">It is also noteworthy, that for more than half of the pharmacogenes, </w:t>
      </w:r>
      <w:r w:rsidRPr="00A52720">
        <w:rPr>
          <w:rFonts w:ascii="Arial" w:hAnsi="Arial" w:cs="Arial"/>
          <w:b/>
          <w:bCs/>
          <w:sz w:val="24"/>
          <w:szCs w:val="24"/>
          <w:lang w:val="en-US"/>
        </w:rPr>
        <w:t>rare and unreported (novel) variants</w:t>
      </w:r>
      <w:r w:rsidRPr="00A52720">
        <w:rPr>
          <w:rFonts w:ascii="Arial" w:hAnsi="Arial" w:cs="Arial"/>
          <w:sz w:val="24"/>
          <w:szCs w:val="24"/>
          <w:lang w:val="en-US"/>
        </w:rPr>
        <w:t xml:space="preserve"> account for the entire genetic variability. Overall, the contribution of rare variants was found to be highly gene and drug-specific.</w:t>
      </w:r>
    </w:p>
    <w:p w14:paraId="06DBA425" w14:textId="5D2953FD" w:rsidR="00A52720" w:rsidRPr="00A52720" w:rsidRDefault="00435154" w:rsidP="00A52720">
      <w:pPr>
        <w:spacing w:after="0"/>
        <w:rPr>
          <w:rFonts w:ascii="Arial" w:hAnsi="Arial" w:cs="Arial"/>
          <w:sz w:val="24"/>
          <w:szCs w:val="24"/>
          <w:lang w:val="en-US" w:eastAsia="ja-JP"/>
        </w:rPr>
      </w:pPr>
      <w:r>
        <w:rPr>
          <w:rFonts w:ascii="Arial" w:hAnsi="Arial" w:cs="Arial" w:hint="eastAsia"/>
          <w:sz w:val="24"/>
          <w:szCs w:val="24"/>
          <w:lang w:val="en-US" w:eastAsia="ja-JP"/>
        </w:rPr>
        <w:t>注目すべきは、</w:t>
      </w:r>
      <w:r w:rsidR="006B5F3D">
        <w:rPr>
          <w:rFonts w:ascii="Arial" w:hAnsi="Arial" w:cs="Arial" w:hint="eastAsia"/>
          <w:sz w:val="24"/>
          <w:szCs w:val="24"/>
          <w:lang w:val="en-US" w:eastAsia="ja-JP"/>
        </w:rPr>
        <w:t>半分以上</w:t>
      </w:r>
      <w:r>
        <w:rPr>
          <w:rFonts w:ascii="Arial" w:hAnsi="Arial" w:cs="Arial" w:hint="eastAsia"/>
          <w:sz w:val="24"/>
          <w:szCs w:val="24"/>
          <w:lang w:val="en-US" w:eastAsia="ja-JP"/>
        </w:rPr>
        <w:t>の薬理遺伝子において</w:t>
      </w:r>
      <w:r w:rsidR="006B5F3D">
        <w:rPr>
          <w:rFonts w:ascii="Arial" w:hAnsi="Arial" w:cs="Arial" w:hint="eastAsia"/>
          <w:sz w:val="24"/>
          <w:szCs w:val="24"/>
          <w:lang w:val="en-US" w:eastAsia="ja-JP"/>
        </w:rPr>
        <w:t>希少で未報告の変種が全遺伝的変異性を</w:t>
      </w:r>
      <w:r w:rsidR="00C652F4">
        <w:rPr>
          <w:rFonts w:ascii="Arial" w:hAnsi="Arial" w:cs="Arial" w:hint="eastAsia"/>
          <w:sz w:val="24"/>
          <w:szCs w:val="24"/>
          <w:lang w:val="en-US" w:eastAsia="ja-JP"/>
        </w:rPr>
        <w:t>占めていることです</w:t>
      </w:r>
      <w:r w:rsidR="006B5F3D">
        <w:rPr>
          <w:rFonts w:ascii="Arial" w:hAnsi="Arial" w:cs="Arial" w:hint="eastAsia"/>
          <w:sz w:val="24"/>
          <w:szCs w:val="24"/>
          <w:lang w:val="en-US" w:eastAsia="ja-JP"/>
        </w:rPr>
        <w:t>。</w:t>
      </w:r>
      <w:r w:rsidR="00535A7E">
        <w:rPr>
          <w:rFonts w:ascii="Arial" w:hAnsi="Arial" w:cs="Arial" w:hint="eastAsia"/>
          <w:sz w:val="24"/>
          <w:szCs w:val="24"/>
          <w:lang w:val="en-US" w:eastAsia="ja-JP"/>
        </w:rPr>
        <w:t>全体的に見て、</w:t>
      </w:r>
      <w:r w:rsidR="006B5F3D">
        <w:rPr>
          <w:rFonts w:ascii="Arial" w:hAnsi="Arial" w:cs="Arial" w:hint="eastAsia"/>
          <w:sz w:val="24"/>
          <w:szCs w:val="24"/>
          <w:lang w:val="en-US" w:eastAsia="ja-JP"/>
        </w:rPr>
        <w:t>希少な変種の</w:t>
      </w:r>
      <w:r w:rsidR="00535A7E">
        <w:rPr>
          <w:rFonts w:ascii="Arial" w:hAnsi="Arial" w:cs="Arial" w:hint="eastAsia"/>
          <w:sz w:val="24"/>
          <w:szCs w:val="24"/>
          <w:lang w:val="en-US" w:eastAsia="ja-JP"/>
        </w:rPr>
        <w:t>寄与</w:t>
      </w:r>
      <w:r w:rsidR="006B5F3D">
        <w:rPr>
          <w:rFonts w:ascii="Arial" w:hAnsi="Arial" w:cs="Arial" w:hint="eastAsia"/>
          <w:sz w:val="24"/>
          <w:szCs w:val="24"/>
          <w:lang w:val="en-US" w:eastAsia="ja-JP"/>
        </w:rPr>
        <w:t>は</w:t>
      </w:r>
      <w:r w:rsidR="00535A7E">
        <w:rPr>
          <w:rFonts w:ascii="Arial" w:hAnsi="Arial" w:cs="Arial" w:hint="eastAsia"/>
          <w:sz w:val="24"/>
          <w:szCs w:val="24"/>
          <w:lang w:val="en-US" w:eastAsia="ja-JP"/>
        </w:rPr>
        <w:t>遺伝子や薬剤に大きく依存すると分かりました。</w:t>
      </w:r>
    </w:p>
    <w:p w14:paraId="3334C5CE" w14:textId="77777777" w:rsidR="00A52720" w:rsidRPr="00A52720" w:rsidRDefault="00A52720" w:rsidP="00A52720">
      <w:pPr>
        <w:spacing w:after="0"/>
        <w:rPr>
          <w:rFonts w:ascii="Arial" w:hAnsi="Arial" w:cs="Arial"/>
          <w:sz w:val="24"/>
          <w:szCs w:val="24"/>
          <w:lang w:val="en-US"/>
        </w:rPr>
      </w:pPr>
      <w:r w:rsidRPr="00A52720">
        <w:rPr>
          <w:rFonts w:ascii="Arial" w:hAnsi="Arial" w:cs="Arial"/>
          <w:sz w:val="24"/>
          <w:szCs w:val="24"/>
        </w:rPr>
        <w:t>Α</w:t>
      </w:r>
      <w:r w:rsidRPr="00A52720">
        <w:rPr>
          <w:rFonts w:ascii="Arial" w:hAnsi="Arial" w:cs="Arial"/>
          <w:sz w:val="24"/>
          <w:szCs w:val="24"/>
          <w:lang w:val="en-US"/>
        </w:rPr>
        <w:t xml:space="preserve">nd this is how we started to set up </w:t>
      </w:r>
      <w:r w:rsidRPr="00A52720">
        <w:rPr>
          <w:rFonts w:ascii="Arial" w:hAnsi="Arial" w:cs="Arial"/>
          <w:b/>
          <w:bCs/>
          <w:sz w:val="24"/>
          <w:szCs w:val="24"/>
          <w:lang w:val="en-US"/>
        </w:rPr>
        <w:t xml:space="preserve">PGasus </w:t>
      </w:r>
      <w:r w:rsidRPr="00A52720">
        <w:rPr>
          <w:rFonts w:ascii="Arial" w:hAnsi="Arial" w:cs="Arial"/>
          <w:sz w:val="24"/>
          <w:szCs w:val="24"/>
          <w:lang w:val="en-US"/>
        </w:rPr>
        <w:t>with a very specific goal in mind; </w:t>
      </w:r>
    </w:p>
    <w:p w14:paraId="0A9549AE" w14:textId="0AC3C06D" w:rsidR="00A52720" w:rsidRPr="00A52720" w:rsidRDefault="008D1B16" w:rsidP="00A52720">
      <w:pPr>
        <w:spacing w:after="0"/>
        <w:rPr>
          <w:rFonts w:ascii="Arial" w:hAnsi="Arial" w:cs="Arial"/>
          <w:sz w:val="24"/>
          <w:szCs w:val="24"/>
          <w:lang w:val="en-US" w:eastAsia="ja-JP"/>
        </w:rPr>
      </w:pPr>
      <w:r w:rsidRPr="008D1B16">
        <w:rPr>
          <w:rFonts w:ascii="Arial" w:hAnsi="Arial" w:cs="Arial" w:hint="eastAsia"/>
          <w:sz w:val="24"/>
          <w:szCs w:val="24"/>
          <w:lang w:val="en-US" w:eastAsia="ja-JP"/>
        </w:rPr>
        <w:t>このように</w:t>
      </w:r>
      <w:r w:rsidR="00DA42BD">
        <w:rPr>
          <w:rFonts w:ascii="Arial" w:hAnsi="Arial" w:cs="Arial" w:hint="eastAsia"/>
          <w:sz w:val="24"/>
          <w:szCs w:val="24"/>
          <w:lang w:val="en-US" w:eastAsia="ja-JP"/>
        </w:rPr>
        <w:t>して</w:t>
      </w:r>
      <w:r w:rsidR="00823872">
        <w:rPr>
          <w:rFonts w:ascii="Arial" w:hAnsi="Arial" w:cs="Arial" w:hint="eastAsia"/>
          <w:sz w:val="24"/>
          <w:szCs w:val="24"/>
          <w:lang w:val="en-US" w:eastAsia="ja-JP"/>
        </w:rPr>
        <w:t>、</w:t>
      </w:r>
      <w:r w:rsidRPr="008D1B16">
        <w:rPr>
          <w:rFonts w:ascii="Arial" w:hAnsi="Arial" w:cs="Arial" w:hint="eastAsia"/>
          <w:sz w:val="24"/>
          <w:szCs w:val="24"/>
          <w:lang w:val="en-US" w:eastAsia="ja-JP"/>
        </w:rPr>
        <w:t>私たちは具体的な目標を持って</w:t>
      </w:r>
      <w:r w:rsidRPr="008D1B16">
        <w:rPr>
          <w:rFonts w:ascii="Arial" w:hAnsi="Arial" w:cs="Arial" w:hint="eastAsia"/>
          <w:sz w:val="24"/>
          <w:szCs w:val="24"/>
          <w:lang w:val="en-US" w:eastAsia="ja-JP"/>
        </w:rPr>
        <w:t>PGasus</w:t>
      </w:r>
      <w:r w:rsidR="00DA42BD">
        <w:rPr>
          <w:rFonts w:ascii="Arial" w:hAnsi="Arial" w:cs="Arial" w:hint="eastAsia"/>
          <w:sz w:val="24"/>
          <w:szCs w:val="24"/>
          <w:lang w:val="en-US" w:eastAsia="ja-JP"/>
        </w:rPr>
        <w:t>に着手</w:t>
      </w:r>
      <w:r w:rsidRPr="008D1B16">
        <w:rPr>
          <w:rFonts w:ascii="Arial" w:hAnsi="Arial" w:cs="Arial" w:hint="eastAsia"/>
          <w:sz w:val="24"/>
          <w:szCs w:val="24"/>
          <w:lang w:val="en-US" w:eastAsia="ja-JP"/>
        </w:rPr>
        <w:t>しました。</w:t>
      </w:r>
    </w:p>
    <w:p w14:paraId="1C384386" w14:textId="77777777" w:rsidR="00A52720" w:rsidRPr="00A52720" w:rsidRDefault="00A52720" w:rsidP="00A52720">
      <w:pPr>
        <w:spacing w:after="0"/>
        <w:rPr>
          <w:rFonts w:ascii="Arial" w:hAnsi="Arial" w:cs="Arial"/>
          <w:sz w:val="24"/>
          <w:szCs w:val="24"/>
          <w:lang w:val="en-US"/>
        </w:rPr>
      </w:pPr>
      <w:r w:rsidRPr="00A52720">
        <w:rPr>
          <w:rFonts w:ascii="Arial" w:hAnsi="Arial" w:cs="Arial"/>
          <w:sz w:val="24"/>
          <w:szCs w:val="24"/>
          <w:lang w:val="en-US"/>
        </w:rPr>
        <w:t xml:space="preserve">creating a </w:t>
      </w:r>
      <w:r w:rsidRPr="00A52720">
        <w:rPr>
          <w:rFonts w:ascii="Arial" w:hAnsi="Arial" w:cs="Arial"/>
          <w:b/>
          <w:bCs/>
          <w:sz w:val="24"/>
          <w:szCs w:val="24"/>
          <w:lang w:val="en-US"/>
        </w:rPr>
        <w:t xml:space="preserve">comprehensive </w:t>
      </w:r>
      <w:r w:rsidRPr="00A52720">
        <w:rPr>
          <w:rFonts w:ascii="Arial" w:hAnsi="Arial" w:cs="Arial"/>
          <w:sz w:val="24"/>
          <w:szCs w:val="24"/>
          <w:lang w:val="en-US"/>
        </w:rPr>
        <w:t>pharmacogenetics panel via whole pharmacogene sequencing to propose the proper adjustment of drug dosage.</w:t>
      </w:r>
    </w:p>
    <w:p w14:paraId="35831EB5" w14:textId="5275A2AE" w:rsidR="00A52720" w:rsidRPr="00A52720" w:rsidRDefault="008D1B16" w:rsidP="00A52720">
      <w:pPr>
        <w:spacing w:after="0"/>
        <w:rPr>
          <w:rFonts w:ascii="Arial" w:hAnsi="Arial" w:cs="Arial"/>
          <w:sz w:val="24"/>
          <w:szCs w:val="24"/>
          <w:lang w:val="en-US" w:eastAsia="ja-JP"/>
        </w:rPr>
      </w:pPr>
      <w:r w:rsidRPr="008D1B16">
        <w:rPr>
          <w:rFonts w:ascii="Arial" w:hAnsi="Arial" w:cs="Arial" w:hint="eastAsia"/>
          <w:sz w:val="24"/>
          <w:szCs w:val="24"/>
          <w:lang w:val="en-US" w:eastAsia="ja-JP"/>
        </w:rPr>
        <w:lastRenderedPageBreak/>
        <w:t>薬理遺伝子の全塩基配列を用いて包括的な薬理遺伝子パネルを作成し、医薬品の適切な投与量の調整を提案</w:t>
      </w:r>
      <w:r>
        <w:rPr>
          <w:rFonts w:ascii="Arial" w:hAnsi="Arial" w:cs="Arial" w:hint="eastAsia"/>
          <w:sz w:val="24"/>
          <w:szCs w:val="24"/>
          <w:lang w:val="en-US" w:eastAsia="ja-JP"/>
        </w:rPr>
        <w:t>します。</w:t>
      </w:r>
    </w:p>
    <w:p w14:paraId="023DD3FC" w14:textId="77777777" w:rsidR="00A52720" w:rsidRPr="00A52720" w:rsidRDefault="00A52720" w:rsidP="00A52720">
      <w:pPr>
        <w:spacing w:after="0"/>
        <w:rPr>
          <w:rFonts w:ascii="Arial" w:hAnsi="Arial" w:cs="Arial"/>
          <w:sz w:val="24"/>
          <w:szCs w:val="24"/>
          <w:lang w:val="en-US"/>
        </w:rPr>
      </w:pPr>
      <w:r w:rsidRPr="00A52720">
        <w:rPr>
          <w:rFonts w:ascii="Arial" w:hAnsi="Arial" w:cs="Arial"/>
          <w:sz w:val="24"/>
          <w:szCs w:val="24"/>
          <w:lang w:val="en-US"/>
        </w:rPr>
        <w:t xml:space="preserve">Using </w:t>
      </w:r>
      <w:r w:rsidRPr="00A52720">
        <w:rPr>
          <w:rFonts w:ascii="Arial" w:hAnsi="Arial" w:cs="Arial"/>
          <w:b/>
          <w:bCs/>
          <w:sz w:val="24"/>
          <w:szCs w:val="24"/>
          <w:lang w:val="en-US"/>
        </w:rPr>
        <w:t>Next-Generation Sequencing</w:t>
      </w:r>
      <w:r w:rsidRPr="00A52720">
        <w:rPr>
          <w:rFonts w:ascii="Arial" w:hAnsi="Arial" w:cs="Arial"/>
          <w:sz w:val="24"/>
          <w:szCs w:val="24"/>
          <w:lang w:val="en-US"/>
        </w:rPr>
        <w:t xml:space="preserve"> and clinical data from patients with psychiatric disorders, novel and rare variants were detected. </w:t>
      </w:r>
    </w:p>
    <w:p w14:paraId="18FA0FF0" w14:textId="22C387B0" w:rsidR="00A52720" w:rsidRPr="00A52720" w:rsidRDefault="00865D6C" w:rsidP="00A52720">
      <w:pPr>
        <w:spacing w:after="0"/>
        <w:rPr>
          <w:rFonts w:ascii="Arial" w:hAnsi="Arial" w:cs="Arial"/>
          <w:sz w:val="24"/>
          <w:szCs w:val="24"/>
          <w:lang w:val="en-US" w:eastAsia="ja-JP"/>
        </w:rPr>
      </w:pPr>
      <w:r w:rsidRPr="00865D6C">
        <w:rPr>
          <w:rFonts w:ascii="Arial" w:hAnsi="Arial" w:cs="Arial" w:hint="eastAsia"/>
          <w:sz w:val="24"/>
          <w:szCs w:val="24"/>
          <w:lang w:val="en-US" w:eastAsia="ja-JP"/>
        </w:rPr>
        <w:t>次世代シーケンサーと精神疾患患者の臨床データを用いて、新規および希少な</w:t>
      </w:r>
      <w:r>
        <w:rPr>
          <w:rFonts w:ascii="Arial" w:hAnsi="Arial" w:cs="Arial" w:hint="eastAsia"/>
          <w:sz w:val="24"/>
          <w:szCs w:val="24"/>
          <w:lang w:val="en-US" w:eastAsia="ja-JP"/>
        </w:rPr>
        <w:t>変種</w:t>
      </w:r>
      <w:r w:rsidRPr="00865D6C">
        <w:rPr>
          <w:rFonts w:ascii="Arial" w:hAnsi="Arial" w:cs="Arial" w:hint="eastAsia"/>
          <w:sz w:val="24"/>
          <w:szCs w:val="24"/>
          <w:lang w:val="en-US" w:eastAsia="ja-JP"/>
        </w:rPr>
        <w:t>を検出</w:t>
      </w:r>
      <w:r>
        <w:rPr>
          <w:rFonts w:ascii="Arial" w:hAnsi="Arial" w:cs="Arial" w:hint="eastAsia"/>
          <w:sz w:val="24"/>
          <w:szCs w:val="24"/>
          <w:lang w:val="en-US" w:eastAsia="ja-JP"/>
        </w:rPr>
        <w:t>しました</w:t>
      </w:r>
      <w:r w:rsidRPr="00865D6C">
        <w:rPr>
          <w:rFonts w:ascii="Arial" w:hAnsi="Arial" w:cs="Arial" w:hint="eastAsia"/>
          <w:sz w:val="24"/>
          <w:szCs w:val="24"/>
          <w:lang w:val="en-US" w:eastAsia="ja-JP"/>
        </w:rPr>
        <w:t>。</w:t>
      </w:r>
    </w:p>
    <w:p w14:paraId="4C42362B" w14:textId="77777777" w:rsidR="00A52720" w:rsidRPr="00A52720" w:rsidRDefault="00A52720" w:rsidP="00A52720">
      <w:pPr>
        <w:spacing w:after="0"/>
        <w:rPr>
          <w:rFonts w:ascii="Arial" w:hAnsi="Arial" w:cs="Arial"/>
          <w:sz w:val="24"/>
          <w:szCs w:val="24"/>
          <w:lang w:val="en-US"/>
        </w:rPr>
      </w:pPr>
      <w:r w:rsidRPr="00A52720">
        <w:rPr>
          <w:rFonts w:ascii="Arial" w:hAnsi="Arial" w:cs="Arial"/>
          <w:sz w:val="24"/>
          <w:szCs w:val="24"/>
          <w:lang w:val="en-US"/>
        </w:rPr>
        <w:t xml:space="preserve">In order to further validate the functional effect of such variants, </w:t>
      </w:r>
      <w:r w:rsidRPr="00A52720">
        <w:rPr>
          <w:rFonts w:ascii="Arial" w:hAnsi="Arial" w:cs="Arial"/>
          <w:b/>
          <w:bCs/>
          <w:sz w:val="24"/>
          <w:szCs w:val="24"/>
          <w:lang w:val="en-US"/>
        </w:rPr>
        <w:t>site directed mutagenesis</w:t>
      </w:r>
      <w:r w:rsidRPr="00A52720">
        <w:rPr>
          <w:rFonts w:ascii="Arial" w:hAnsi="Arial" w:cs="Arial"/>
          <w:sz w:val="24"/>
          <w:szCs w:val="24"/>
          <w:lang w:val="en-US"/>
        </w:rPr>
        <w:t xml:space="preserve"> in eukaryotic cells (</w:t>
      </w:r>
      <w:r w:rsidRPr="00A52720">
        <w:rPr>
          <w:rFonts w:ascii="Arial" w:hAnsi="Arial" w:cs="Arial"/>
          <w:b/>
          <w:bCs/>
          <w:sz w:val="24"/>
          <w:szCs w:val="24"/>
          <w:lang w:val="en-US"/>
        </w:rPr>
        <w:t>COS-7</w:t>
      </w:r>
      <w:r w:rsidRPr="00A52720">
        <w:rPr>
          <w:rFonts w:ascii="Arial" w:hAnsi="Arial" w:cs="Arial"/>
          <w:sz w:val="24"/>
          <w:szCs w:val="24"/>
          <w:lang w:val="en-US"/>
        </w:rPr>
        <w:t xml:space="preserve"> cell line) will be performed. The expression of CYP2D6 &amp; CYP2C19 mutated proteins will be assessed and the determination of protein expression levels will be conducted with </w:t>
      </w:r>
      <w:r w:rsidRPr="00A52720">
        <w:rPr>
          <w:rFonts w:ascii="Arial" w:hAnsi="Arial" w:cs="Arial"/>
          <w:b/>
          <w:bCs/>
          <w:sz w:val="24"/>
          <w:szCs w:val="24"/>
          <w:lang w:val="en-US"/>
        </w:rPr>
        <w:t>immunoblotting</w:t>
      </w:r>
      <w:r w:rsidRPr="00A52720">
        <w:rPr>
          <w:rFonts w:ascii="Arial" w:hAnsi="Arial" w:cs="Arial"/>
          <w:sz w:val="24"/>
          <w:szCs w:val="24"/>
          <w:lang w:val="en-US"/>
        </w:rPr>
        <w:t>. Finally, the activity of the enzymes will be determined.</w:t>
      </w:r>
    </w:p>
    <w:p w14:paraId="2324E125" w14:textId="14020088" w:rsidR="00A52720" w:rsidRPr="00A52720" w:rsidRDefault="00865D6C" w:rsidP="00A52720">
      <w:pPr>
        <w:spacing w:after="0"/>
        <w:rPr>
          <w:rFonts w:ascii="Arial" w:hAnsi="Arial" w:cs="Arial"/>
          <w:sz w:val="24"/>
          <w:szCs w:val="24"/>
          <w:lang w:val="en-US" w:eastAsia="ja-JP"/>
        </w:rPr>
      </w:pPr>
      <w:r w:rsidRPr="00865D6C">
        <w:rPr>
          <w:rFonts w:ascii="Arial" w:hAnsi="Arial" w:cs="Arial" w:hint="eastAsia"/>
          <w:sz w:val="24"/>
          <w:szCs w:val="24"/>
          <w:lang w:val="en-US" w:eastAsia="ja-JP"/>
        </w:rPr>
        <w:t>このような変異体の機能的効果をさらに検証するために、真核細胞（</w:t>
      </w:r>
      <w:r w:rsidRPr="00865D6C">
        <w:rPr>
          <w:rFonts w:ascii="Arial" w:hAnsi="Arial" w:cs="Arial" w:hint="eastAsia"/>
          <w:sz w:val="24"/>
          <w:szCs w:val="24"/>
          <w:lang w:val="en-US" w:eastAsia="ja-JP"/>
        </w:rPr>
        <w:t>COS-7</w:t>
      </w:r>
      <w:r w:rsidRPr="00865D6C">
        <w:rPr>
          <w:rFonts w:ascii="Arial" w:hAnsi="Arial" w:cs="Arial" w:hint="eastAsia"/>
          <w:sz w:val="24"/>
          <w:szCs w:val="24"/>
          <w:lang w:val="en-US" w:eastAsia="ja-JP"/>
        </w:rPr>
        <w:t>細胞株）を用いた部位特異的変異誘発法を実施します。</w:t>
      </w:r>
      <w:r w:rsidRPr="00865D6C">
        <w:rPr>
          <w:rFonts w:ascii="Arial" w:hAnsi="Arial" w:cs="Arial" w:hint="eastAsia"/>
          <w:sz w:val="24"/>
          <w:szCs w:val="24"/>
          <w:lang w:val="en-US" w:eastAsia="ja-JP"/>
        </w:rPr>
        <w:t>CYP2D6</w:t>
      </w:r>
      <w:r w:rsidRPr="00865D6C">
        <w:rPr>
          <w:rFonts w:ascii="Arial" w:hAnsi="Arial" w:cs="Arial" w:hint="eastAsia"/>
          <w:sz w:val="24"/>
          <w:szCs w:val="24"/>
          <w:lang w:val="en-US" w:eastAsia="ja-JP"/>
        </w:rPr>
        <w:t>および</w:t>
      </w:r>
      <w:r w:rsidRPr="00865D6C">
        <w:rPr>
          <w:rFonts w:ascii="Arial" w:hAnsi="Arial" w:cs="Arial" w:hint="eastAsia"/>
          <w:sz w:val="24"/>
          <w:szCs w:val="24"/>
          <w:lang w:val="en-US" w:eastAsia="ja-JP"/>
        </w:rPr>
        <w:t>CYP2C19</w:t>
      </w:r>
      <w:r w:rsidRPr="00865D6C">
        <w:rPr>
          <w:rFonts w:ascii="Arial" w:hAnsi="Arial" w:cs="Arial" w:hint="eastAsia"/>
          <w:sz w:val="24"/>
          <w:szCs w:val="24"/>
          <w:lang w:val="en-US" w:eastAsia="ja-JP"/>
        </w:rPr>
        <w:t>の変異体のタンパク質の発現を評価し、タンパク質の発現レベルの決定は、イムノブロッティングで行います。最後に、酵素の活性を測定します。</w:t>
      </w:r>
    </w:p>
    <w:p w14:paraId="58DE13E5" w14:textId="77777777" w:rsidR="00A52720" w:rsidRPr="00A52720" w:rsidRDefault="00A52720" w:rsidP="00A52720">
      <w:pPr>
        <w:spacing w:after="0"/>
        <w:rPr>
          <w:rFonts w:ascii="Arial" w:hAnsi="Arial" w:cs="Arial"/>
          <w:sz w:val="24"/>
          <w:szCs w:val="24"/>
          <w:lang w:val="en-US" w:eastAsia="ja-JP"/>
        </w:rPr>
      </w:pPr>
      <w:r w:rsidRPr="00A52720">
        <w:rPr>
          <w:rFonts w:ascii="Arial" w:hAnsi="Arial" w:cs="Arial"/>
          <w:sz w:val="24"/>
          <w:szCs w:val="24"/>
          <w:lang w:val="en-US" w:eastAsia="ja-JP"/>
        </w:rPr>
        <w:t xml:space="preserve">We will use a portable </w:t>
      </w:r>
      <w:r w:rsidRPr="00A52720">
        <w:rPr>
          <w:rFonts w:ascii="Arial" w:hAnsi="Arial" w:cs="Arial"/>
          <w:b/>
          <w:bCs/>
          <w:sz w:val="24"/>
          <w:szCs w:val="24"/>
          <w:lang w:val="en-US" w:eastAsia="ja-JP"/>
        </w:rPr>
        <w:t>NGS</w:t>
      </w:r>
      <w:r w:rsidRPr="00A52720">
        <w:rPr>
          <w:rFonts w:ascii="Arial" w:hAnsi="Arial" w:cs="Arial"/>
          <w:sz w:val="24"/>
          <w:szCs w:val="24"/>
          <w:lang w:val="en-US" w:eastAsia="ja-JP"/>
        </w:rPr>
        <w:t xml:space="preserve"> device in a compact size to parallel sequence </w:t>
      </w:r>
      <w:r w:rsidRPr="00A52720">
        <w:rPr>
          <w:rFonts w:ascii="Arial" w:hAnsi="Arial" w:cs="Arial"/>
          <w:b/>
          <w:bCs/>
          <w:sz w:val="24"/>
          <w:szCs w:val="24"/>
          <w:lang w:val="en-US" w:eastAsia="ja-JP"/>
        </w:rPr>
        <w:t>common, rare and novel variants</w:t>
      </w:r>
      <w:r w:rsidRPr="00A52720">
        <w:rPr>
          <w:rFonts w:ascii="Arial" w:hAnsi="Arial" w:cs="Arial"/>
          <w:sz w:val="24"/>
          <w:szCs w:val="24"/>
          <w:lang w:val="en-US" w:eastAsia="ja-JP"/>
        </w:rPr>
        <w:t>. </w:t>
      </w:r>
    </w:p>
    <w:p w14:paraId="5AAE0EA8" w14:textId="367AA4B7" w:rsidR="00A52720" w:rsidRPr="00A52720" w:rsidRDefault="00233AB5" w:rsidP="00A52720">
      <w:pPr>
        <w:spacing w:after="0"/>
        <w:rPr>
          <w:rFonts w:ascii="Arial" w:hAnsi="Arial" w:cs="Arial"/>
          <w:sz w:val="24"/>
          <w:szCs w:val="24"/>
          <w:lang w:val="en-US" w:eastAsia="ja-JP"/>
        </w:rPr>
      </w:pPr>
      <w:r>
        <w:rPr>
          <w:rFonts w:ascii="Arial" w:hAnsi="Arial" w:cs="Arial" w:hint="eastAsia"/>
          <w:sz w:val="24"/>
          <w:szCs w:val="24"/>
          <w:lang w:val="en-US" w:eastAsia="ja-JP"/>
        </w:rPr>
        <w:t>小型</w:t>
      </w:r>
      <w:r w:rsidR="00865D6C" w:rsidRPr="00865D6C">
        <w:rPr>
          <w:rFonts w:ascii="Arial" w:hAnsi="Arial" w:cs="Arial" w:hint="eastAsia"/>
          <w:sz w:val="24"/>
          <w:szCs w:val="24"/>
          <w:lang w:val="en-US" w:eastAsia="ja-JP"/>
        </w:rPr>
        <w:t>のポータブル</w:t>
      </w:r>
      <w:r w:rsidR="00865D6C" w:rsidRPr="00865D6C">
        <w:rPr>
          <w:rFonts w:ascii="Arial" w:hAnsi="Arial" w:cs="Arial" w:hint="eastAsia"/>
          <w:sz w:val="24"/>
          <w:szCs w:val="24"/>
          <w:lang w:val="en-US" w:eastAsia="ja-JP"/>
        </w:rPr>
        <w:t>NGS</w:t>
      </w:r>
      <w:r>
        <w:rPr>
          <w:rFonts w:ascii="Arial" w:hAnsi="Arial" w:cs="Arial" w:hint="eastAsia"/>
          <w:sz w:val="24"/>
          <w:szCs w:val="24"/>
          <w:lang w:val="en-US" w:eastAsia="ja-JP"/>
        </w:rPr>
        <w:t>デバイス</w:t>
      </w:r>
      <w:r w:rsidR="00865D6C" w:rsidRPr="00865D6C">
        <w:rPr>
          <w:rFonts w:ascii="Arial" w:hAnsi="Arial" w:cs="Arial" w:hint="eastAsia"/>
          <w:sz w:val="24"/>
          <w:szCs w:val="24"/>
          <w:lang w:val="en-US" w:eastAsia="ja-JP"/>
        </w:rPr>
        <w:t>を使って、一般的な</w:t>
      </w:r>
      <w:r>
        <w:rPr>
          <w:rFonts w:ascii="Arial" w:hAnsi="Arial" w:cs="Arial" w:hint="eastAsia"/>
          <w:sz w:val="24"/>
          <w:szCs w:val="24"/>
          <w:lang w:val="en-US" w:eastAsia="ja-JP"/>
        </w:rPr>
        <w:t>変異体</w:t>
      </w:r>
      <w:r w:rsidR="00865D6C" w:rsidRPr="00865D6C">
        <w:rPr>
          <w:rFonts w:ascii="Arial" w:hAnsi="Arial" w:cs="Arial" w:hint="eastAsia"/>
          <w:sz w:val="24"/>
          <w:szCs w:val="24"/>
          <w:lang w:val="en-US" w:eastAsia="ja-JP"/>
        </w:rPr>
        <w:t>、希少な</w:t>
      </w:r>
      <w:r>
        <w:rPr>
          <w:rFonts w:ascii="Arial" w:hAnsi="Arial" w:cs="Arial" w:hint="eastAsia"/>
          <w:sz w:val="24"/>
          <w:szCs w:val="24"/>
          <w:lang w:val="en-US" w:eastAsia="ja-JP"/>
        </w:rPr>
        <w:t>変異体</w:t>
      </w:r>
      <w:r w:rsidR="00865D6C" w:rsidRPr="00865D6C">
        <w:rPr>
          <w:rFonts w:ascii="Arial" w:hAnsi="Arial" w:cs="Arial" w:hint="eastAsia"/>
          <w:sz w:val="24"/>
          <w:szCs w:val="24"/>
          <w:lang w:val="en-US" w:eastAsia="ja-JP"/>
        </w:rPr>
        <w:t>、新規の</w:t>
      </w:r>
      <w:r>
        <w:rPr>
          <w:rFonts w:ascii="Arial" w:hAnsi="Arial" w:cs="Arial" w:hint="eastAsia"/>
          <w:sz w:val="24"/>
          <w:szCs w:val="24"/>
          <w:lang w:val="en-US" w:eastAsia="ja-JP"/>
        </w:rPr>
        <w:t>変異体</w:t>
      </w:r>
      <w:r w:rsidR="00865D6C" w:rsidRPr="00865D6C">
        <w:rPr>
          <w:rFonts w:ascii="Arial" w:hAnsi="Arial" w:cs="Arial" w:hint="eastAsia"/>
          <w:sz w:val="24"/>
          <w:szCs w:val="24"/>
          <w:lang w:val="en-US" w:eastAsia="ja-JP"/>
        </w:rPr>
        <w:t>を</w:t>
      </w:r>
      <w:r w:rsidR="00865D6C">
        <w:rPr>
          <w:rFonts w:ascii="Arial" w:hAnsi="Arial" w:cs="Arial" w:hint="eastAsia"/>
          <w:sz w:val="24"/>
          <w:szCs w:val="24"/>
          <w:lang w:val="en-US" w:eastAsia="ja-JP"/>
        </w:rPr>
        <w:t>並列</w:t>
      </w:r>
      <w:r w:rsidR="00865D6C" w:rsidRPr="00865D6C">
        <w:rPr>
          <w:rFonts w:ascii="Arial" w:hAnsi="Arial" w:cs="Arial" w:hint="eastAsia"/>
          <w:sz w:val="24"/>
          <w:szCs w:val="24"/>
          <w:lang w:val="en-US" w:eastAsia="ja-JP"/>
        </w:rPr>
        <w:t>シーケンスします。</w:t>
      </w:r>
    </w:p>
    <w:p w14:paraId="62753465" w14:textId="2F66EA42" w:rsidR="00A52720" w:rsidRPr="00A52720" w:rsidRDefault="00A52720" w:rsidP="00A52720">
      <w:pPr>
        <w:spacing w:after="0"/>
        <w:rPr>
          <w:rFonts w:ascii="Arial" w:hAnsi="Arial" w:cs="Arial"/>
          <w:sz w:val="24"/>
          <w:szCs w:val="24"/>
          <w:lang w:val="en-US"/>
        </w:rPr>
      </w:pPr>
      <w:r w:rsidRPr="00A52720">
        <w:rPr>
          <w:rFonts w:ascii="Arial" w:hAnsi="Arial" w:cs="Arial"/>
          <w:sz w:val="24"/>
          <w:szCs w:val="24"/>
          <w:lang w:val="en-US"/>
        </w:rPr>
        <w:t xml:space="preserve">Whole pharmacogene sequencing with Oxford nanopore MinION is </w:t>
      </w:r>
      <w:r w:rsidRPr="00A52720">
        <w:rPr>
          <w:rFonts w:ascii="Arial" w:hAnsi="Arial" w:cs="Arial"/>
          <w:b/>
          <w:bCs/>
          <w:sz w:val="24"/>
          <w:szCs w:val="24"/>
          <w:lang w:val="en-US"/>
        </w:rPr>
        <w:t>cost-saving</w:t>
      </w:r>
      <w:r w:rsidRPr="00A52720">
        <w:rPr>
          <w:rFonts w:ascii="Arial" w:hAnsi="Arial" w:cs="Arial"/>
          <w:sz w:val="24"/>
          <w:szCs w:val="24"/>
          <w:lang w:val="en-US"/>
        </w:rPr>
        <w:t xml:space="preserve"> and just as </w:t>
      </w:r>
      <w:r w:rsidRPr="00A52720">
        <w:rPr>
          <w:rFonts w:ascii="Arial" w:hAnsi="Arial" w:cs="Arial"/>
          <w:b/>
          <w:bCs/>
          <w:sz w:val="24"/>
          <w:szCs w:val="24"/>
          <w:lang w:val="en-US"/>
        </w:rPr>
        <w:t xml:space="preserve">accurate </w:t>
      </w:r>
      <w:r w:rsidRPr="00A52720">
        <w:rPr>
          <w:rFonts w:ascii="Arial" w:hAnsi="Arial" w:cs="Arial"/>
          <w:sz w:val="24"/>
          <w:szCs w:val="24"/>
          <w:lang w:val="en-US"/>
        </w:rPr>
        <w:t xml:space="preserve">as the other NGS sequencers. </w:t>
      </w:r>
    </w:p>
    <w:p w14:paraId="45680013" w14:textId="10F7C090" w:rsidR="00A52720" w:rsidRPr="00A52720" w:rsidRDefault="008D1B16" w:rsidP="00A52720">
      <w:pPr>
        <w:spacing w:after="0"/>
        <w:rPr>
          <w:rFonts w:ascii="Arial" w:hAnsi="Arial" w:cs="Arial"/>
          <w:sz w:val="24"/>
          <w:szCs w:val="24"/>
          <w:lang w:val="en-US" w:eastAsia="ja-JP"/>
        </w:rPr>
      </w:pPr>
      <w:r w:rsidRPr="008D1B16">
        <w:rPr>
          <w:rFonts w:ascii="Arial" w:hAnsi="Arial" w:cs="Arial" w:hint="eastAsia"/>
          <w:sz w:val="24"/>
          <w:szCs w:val="24"/>
          <w:lang w:val="en-US" w:eastAsia="ja-JP"/>
        </w:rPr>
        <w:t>オックスフォード・ナノポア・ミニオンを用いた全薬理遺伝子シークエンスは、他の</w:t>
      </w:r>
      <w:r w:rsidRPr="008D1B16">
        <w:rPr>
          <w:rFonts w:ascii="Arial" w:hAnsi="Arial" w:cs="Arial" w:hint="eastAsia"/>
          <w:sz w:val="24"/>
          <w:szCs w:val="24"/>
          <w:lang w:val="en-US" w:eastAsia="ja-JP"/>
        </w:rPr>
        <w:t>NGS</w:t>
      </w:r>
      <w:r w:rsidRPr="008D1B16">
        <w:rPr>
          <w:rFonts w:ascii="Arial" w:hAnsi="Arial" w:cs="Arial" w:hint="eastAsia"/>
          <w:sz w:val="24"/>
          <w:szCs w:val="24"/>
          <w:lang w:val="en-US" w:eastAsia="ja-JP"/>
        </w:rPr>
        <w:t>シーケンサーと同様にコストを抑え、かつ正確に行うことができます。</w:t>
      </w:r>
    </w:p>
    <w:p w14:paraId="1A6A48A8" w14:textId="73B98326" w:rsidR="00A20823" w:rsidRDefault="00A52720" w:rsidP="00A52720">
      <w:pPr>
        <w:spacing w:after="0"/>
        <w:rPr>
          <w:rFonts w:ascii="Arial" w:hAnsi="Arial" w:cs="Arial"/>
          <w:sz w:val="24"/>
          <w:szCs w:val="24"/>
        </w:rPr>
      </w:pPr>
      <w:r w:rsidRPr="00A52720">
        <w:rPr>
          <w:rFonts w:ascii="Arial" w:hAnsi="Arial" w:cs="Arial"/>
          <w:sz w:val="24"/>
          <w:szCs w:val="24"/>
          <w:lang w:val="en-US" w:eastAsia="ja-JP"/>
        </w:rPr>
        <w:t> </w:t>
      </w:r>
      <w:r w:rsidRPr="00A52720">
        <w:rPr>
          <w:rFonts w:ascii="Arial" w:hAnsi="Arial" w:cs="Arial"/>
          <w:sz w:val="24"/>
          <w:szCs w:val="24"/>
          <w:lang w:val="en-US"/>
        </w:rPr>
        <w:t xml:space="preserve">The findings can be used clinically… one step further..one step closer to the implementation of </w:t>
      </w:r>
      <w:r w:rsidRPr="00A52720">
        <w:rPr>
          <w:rFonts w:ascii="Arial" w:hAnsi="Arial" w:cs="Arial"/>
          <w:b/>
          <w:bCs/>
          <w:sz w:val="24"/>
          <w:szCs w:val="24"/>
          <w:lang w:val="en-US"/>
        </w:rPr>
        <w:t>personalized therapy.</w:t>
      </w:r>
      <w:r w:rsidRPr="00A52720">
        <w:rPr>
          <w:rFonts w:ascii="Arial" w:hAnsi="Arial" w:cs="Arial"/>
          <w:sz w:val="24"/>
          <w:szCs w:val="24"/>
          <w:lang w:val="en-US"/>
        </w:rPr>
        <w:t xml:space="preserve"> </w:t>
      </w:r>
      <w:r w:rsidRPr="00A52720">
        <w:rPr>
          <w:rFonts w:ascii="Arial" w:hAnsi="Arial" w:cs="Arial"/>
          <w:sz w:val="24"/>
          <w:szCs w:val="24"/>
        </w:rPr>
        <w:t>Keep up with us in our journey!</w:t>
      </w:r>
    </w:p>
    <w:p w14:paraId="2EE93022" w14:textId="36D6A083" w:rsidR="008D1B16" w:rsidRPr="00A52720" w:rsidRDefault="008D1B16" w:rsidP="00A52720">
      <w:pPr>
        <w:spacing w:after="0"/>
        <w:rPr>
          <w:rFonts w:ascii="Arial" w:hAnsi="Arial" w:cs="Arial"/>
          <w:sz w:val="24"/>
          <w:szCs w:val="24"/>
          <w:lang w:eastAsia="ja-JP"/>
        </w:rPr>
      </w:pPr>
      <w:r w:rsidRPr="008D1B16">
        <w:rPr>
          <w:rFonts w:ascii="Arial" w:hAnsi="Arial" w:cs="Arial" w:hint="eastAsia"/>
          <w:sz w:val="24"/>
          <w:szCs w:val="24"/>
          <w:lang w:eastAsia="ja-JP"/>
        </w:rPr>
        <w:t>この研究成果は、臨床的に使用することができます。個別化医療の実現に向けて、一歩前進です。</w:t>
      </w:r>
      <w:r>
        <w:rPr>
          <w:rFonts w:ascii="Arial" w:hAnsi="Arial" w:cs="Arial" w:hint="eastAsia"/>
          <w:sz w:val="24"/>
          <w:szCs w:val="24"/>
          <w:lang w:eastAsia="ja-JP"/>
        </w:rPr>
        <w:t>是非</w:t>
      </w:r>
      <w:r w:rsidR="00337D78">
        <w:rPr>
          <w:rFonts w:ascii="Arial" w:hAnsi="Arial" w:cs="Arial" w:hint="eastAsia"/>
          <w:sz w:val="24"/>
          <w:szCs w:val="24"/>
          <w:lang w:eastAsia="ja-JP"/>
        </w:rPr>
        <w:t>私たちの成長を見守っていてください</w:t>
      </w:r>
      <w:r>
        <w:rPr>
          <w:rFonts w:ascii="Arial" w:hAnsi="Arial" w:cs="Arial" w:hint="eastAsia"/>
          <w:sz w:val="24"/>
          <w:szCs w:val="24"/>
          <w:lang w:eastAsia="ja-JP"/>
        </w:rPr>
        <w:t>！</w:t>
      </w:r>
    </w:p>
    <w:sectPr w:rsidR="008D1B16" w:rsidRPr="00A527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B06E2" w14:textId="77777777" w:rsidR="006D16CE" w:rsidRDefault="006D16CE" w:rsidP="00337D78">
      <w:pPr>
        <w:spacing w:after="0" w:line="240" w:lineRule="auto"/>
      </w:pPr>
      <w:r>
        <w:separator/>
      </w:r>
    </w:p>
  </w:endnote>
  <w:endnote w:type="continuationSeparator" w:id="0">
    <w:p w14:paraId="157C2FDC" w14:textId="77777777" w:rsidR="006D16CE" w:rsidRDefault="006D16CE" w:rsidP="0033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83F25" w14:textId="77777777" w:rsidR="006D16CE" w:rsidRDefault="006D16CE" w:rsidP="00337D78">
      <w:pPr>
        <w:spacing w:after="0" w:line="240" w:lineRule="auto"/>
      </w:pPr>
      <w:r>
        <w:separator/>
      </w:r>
    </w:p>
  </w:footnote>
  <w:footnote w:type="continuationSeparator" w:id="0">
    <w:p w14:paraId="0F04D446" w14:textId="77777777" w:rsidR="006D16CE" w:rsidRDefault="006D16CE" w:rsidP="00337D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2MzM3Mja1MDQxMzZS0lEKTi0uzszPAykwqgUACn+ylCwAAAA="/>
  </w:docVars>
  <w:rsids>
    <w:rsidRoot w:val="00A52720"/>
    <w:rsid w:val="000A1722"/>
    <w:rsid w:val="001959B6"/>
    <w:rsid w:val="001B2DB0"/>
    <w:rsid w:val="00233AB5"/>
    <w:rsid w:val="00337D78"/>
    <w:rsid w:val="003E251E"/>
    <w:rsid w:val="00435154"/>
    <w:rsid w:val="00457B92"/>
    <w:rsid w:val="004620EB"/>
    <w:rsid w:val="004D0C13"/>
    <w:rsid w:val="00535A7E"/>
    <w:rsid w:val="00577F89"/>
    <w:rsid w:val="005913EE"/>
    <w:rsid w:val="005E6788"/>
    <w:rsid w:val="006B5F3D"/>
    <w:rsid w:val="006D16CE"/>
    <w:rsid w:val="007E22B3"/>
    <w:rsid w:val="00823872"/>
    <w:rsid w:val="00865D6C"/>
    <w:rsid w:val="008D1B16"/>
    <w:rsid w:val="00A20823"/>
    <w:rsid w:val="00A52720"/>
    <w:rsid w:val="00C652F4"/>
    <w:rsid w:val="00DA42BD"/>
    <w:rsid w:val="00E41F7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21795B"/>
  <w15:chartTrackingRefBased/>
  <w15:docId w15:val="{CDF25AFA-B4AE-4AF3-AAA7-41717EC3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5272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a4"/>
    <w:uiPriority w:val="99"/>
    <w:unhideWhenUsed/>
    <w:rsid w:val="00337D78"/>
    <w:pPr>
      <w:tabs>
        <w:tab w:val="center" w:pos="4252"/>
        <w:tab w:val="right" w:pos="8504"/>
      </w:tabs>
      <w:snapToGrid w:val="0"/>
    </w:pPr>
  </w:style>
  <w:style w:type="character" w:customStyle="1" w:styleId="a4">
    <w:name w:val="ヘッダー (文字)"/>
    <w:basedOn w:val="a0"/>
    <w:link w:val="a3"/>
    <w:uiPriority w:val="99"/>
    <w:rsid w:val="00337D78"/>
  </w:style>
  <w:style w:type="paragraph" w:styleId="a5">
    <w:name w:val="footer"/>
    <w:basedOn w:val="a"/>
    <w:link w:val="a6"/>
    <w:uiPriority w:val="99"/>
    <w:unhideWhenUsed/>
    <w:rsid w:val="00337D78"/>
    <w:pPr>
      <w:tabs>
        <w:tab w:val="center" w:pos="4252"/>
        <w:tab w:val="right" w:pos="8504"/>
      </w:tabs>
      <w:snapToGrid w:val="0"/>
    </w:pPr>
  </w:style>
  <w:style w:type="character" w:customStyle="1" w:styleId="a6">
    <w:name w:val="フッター (文字)"/>
    <w:basedOn w:val="a0"/>
    <w:link w:val="a5"/>
    <w:uiPriority w:val="99"/>
    <w:rsid w:val="00337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88776">
      <w:bodyDiv w:val="1"/>
      <w:marLeft w:val="0"/>
      <w:marRight w:val="0"/>
      <w:marTop w:val="0"/>
      <w:marBottom w:val="0"/>
      <w:divBdr>
        <w:top w:val="none" w:sz="0" w:space="0" w:color="auto"/>
        <w:left w:val="none" w:sz="0" w:space="0" w:color="auto"/>
        <w:bottom w:val="none" w:sz="0" w:space="0" w:color="auto"/>
        <w:right w:val="none" w:sz="0" w:space="0" w:color="auto"/>
      </w:divBdr>
    </w:div>
    <w:div w:id="112735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ΔΑΜΑΝΑΚΗ ΑΡΙΑΔΝΗ</dc:creator>
  <cp:keywords/>
  <dc:description/>
  <cp:lastModifiedBy>IIZAWA MISA</cp:lastModifiedBy>
  <cp:revision>15</cp:revision>
  <dcterms:created xsi:type="dcterms:W3CDTF">2021-07-09T03:33:00Z</dcterms:created>
  <dcterms:modified xsi:type="dcterms:W3CDTF">2021-07-11T23:41:00Z</dcterms:modified>
</cp:coreProperties>
</file>